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 xml:space="preserve">Vojaška delovanja</w:t>
      </w:r>
      <w:r>
        <w:br/>
      </w:r>
      <w:r>
        <w:br/>
      </w:r>
      <w:r>
        <w:t xml:space="preserve">Učni načrt predmeta/Course syllabus</w:t>
      </w:r>
    </w:p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1500" w:type="pct"/>
            <w:rStyle w:val="VerticalTable"/>
          </w:tcPr>
          <w:p>
            <w:r>
              <w:rPr>
                <w:rStyle w:val="VerticalTable"/>
              </w:rPr>
              <w:t xml:space="preserve">Predmet:</w:t>
            </w:r>
          </w:p>
        </w:tc>
        <w:tc>
          <w:tcPr>
            <w:tcW w:w="3500" w:type="pct"/>
            <w:rStyle w:val="VerticalTable"/>
          </w:tcPr>
          <w:p>
            <w:r>
              <w:rPr>
                <w:rStyle w:val="VerticalTable"/>
              </w:rPr>
              <w:t xml:space="preserve">Vojaška delovanja</w:t>
            </w:r>
          </w:p>
        </w:tc>
      </w:tr>
      <w:tr>
        <w:tc>
          <w:tcPr>
            <w:tcW w:w="1500" w:type="pct"/>
            <w:rStyle w:val="VerticalTable"/>
          </w:tcPr>
          <w:p>
            <w:r>
              <w:rPr>
                <w:rStyle w:val="VerticalTable"/>
              </w:rPr>
              <w:t xml:space="preserve">Course title:</w:t>
            </w:r>
          </w:p>
        </w:tc>
        <w:tc>
          <w:tcPr>
            <w:tcW w:w="3500" w:type="pct"/>
            <w:rStyle w:val="VerticalTable"/>
          </w:tcPr>
          <w:p>
            <w:r>
              <w:rPr>
                <w:rStyle w:val="VerticalTable"/>
              </w:rPr>
              <w:t xml:space="preserve">Military Operations</w:t>
            </w:r>
          </w:p>
        </w:tc>
      </w:tr>
      <w:tr>
        <w:tc>
          <w:tcPr>
            <w:tcW w:w="1500" w:type="pct"/>
            <w:rStyle w:val="VerticalTable"/>
          </w:tcPr>
          <w:p>
            <w:r>
              <w:rPr>
                <w:rStyle w:val="VerticalTable"/>
              </w:rPr>
              <w:t xml:space="preserve">Članica nosilka/UL Member:</w:t>
            </w:r>
          </w:p>
        </w:tc>
        <w:tc>
          <w:tcPr>
            <w:tcW w:w="3500" w:type="pct"/>
            <w:rStyle w:val="VerticalTable"/>
          </w:tcPr>
          <w:p>
            <w:r>
              <w:rPr>
                <w:rStyle w:val="VerticalTable"/>
              </w:rPr>
              <w:t xml:space="preserve">UL FS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  <w:gridCol/>
        <w:gridCol/>
        <w:gridCol/>
      </w:tblGrid>
      <w:tr>
        <w:tc>
          <w:tcPr>
            <w:tcW w:w="2000" w:type="pct"/>
            <w:rStyle w:val="DefaultTable"/>
          </w:tcPr>
          <w:p>
            <w:r>
              <w:rPr>
                <w:rStyle w:val="DefaultTable"/>
              </w:rPr>
              <w:t xml:space="preserve">Študijski programi in stopnja</w:t>
            </w:r>
          </w:p>
        </w:tc>
        <w:tc>
          <w:tcPr>
            <w:tcW w:w="1500" w:type="pct"/>
            <w:rStyle w:val="DefaultTable"/>
          </w:tcPr>
          <w:p>
            <w:r>
              <w:rPr>
                <w:rStyle w:val="DefaultTable"/>
              </w:rPr>
              <w:t xml:space="preserve">Študijska smer</w:t>
            </w:r>
          </w:p>
        </w:tc>
        <w:tc>
          <w:tcPr>
            <w:tcW w:w="500" w:type="pct"/>
            <w:rStyle w:val="DefaultTable"/>
          </w:tcPr>
          <w:p>
            <w:r>
              <w:rPr>
                <w:rStyle w:val="DefaultTable"/>
              </w:rPr>
              <w:t xml:space="preserve">Letnik</w:t>
            </w:r>
          </w:p>
        </w:tc>
        <w:tc>
          <w:tcPr>
            <w:tcW w:w="500" w:type="pct"/>
            <w:rStyle w:val="DefaultTable"/>
          </w:tcPr>
          <w:p>
            <w:r>
              <w:rPr>
                <w:rStyle w:val="DefaultTable"/>
              </w:rPr>
              <w:t xml:space="preserve">Semestri</w:t>
            </w:r>
          </w:p>
        </w:tc>
        <w:tc>
          <w:tcPr>
            <w:tcW w:w="500" w:type="pct"/>
            <w:rStyle w:val="DefaultTable"/>
          </w:tcPr>
          <w:p>
            <w:r>
              <w:rPr>
                <w:rStyle w:val="DefaultTable"/>
              </w:rPr>
              <w:t xml:space="preserve">Izbirnost</w:t>
            </w:r>
          </w:p>
        </w:tc>
      </w:tr>
      <w:tr>
        <w:tc>
          <w:tcPr>
            <w:tcW w:w="2000" w:type="pct"/>
            <w:rStyle w:val="DefaultTable"/>
          </w:tcPr>
          <w:p>
            <w:r>
              <w:rPr>
                <w:rStyle w:val="DefaultTable"/>
              </w:rPr>
              <w:t xml:space="preserve">Strojništvo - projektno aplikativni program, prva stopnja, visokošolski strokovni</w:t>
            </w:r>
          </w:p>
        </w:tc>
        <w:tc>
          <w:tcPr>
            <w:tcW w:w="1500" w:type="pct"/>
            <w:rStyle w:val="DefaultTable"/>
          </w:tcPr>
          <w:p>
            <w:r>
              <w:rPr>
                <w:rStyle w:val="DefaultTable"/>
              </w:rPr>
              <w:t xml:space="preserve">Ni členitve (študijski program)                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3. letnik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2. semester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izbirni</w:t>
            </w:r>
          </w:p>
        </w:tc>
      </w:tr>
    </w:tbl>
    <w:p/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2750" w:type="pct"/>
            <w:rStyle w:val="VerticalTable"/>
          </w:tcPr>
          <w:p>
            <w:r>
              <w:rPr>
                <w:rStyle w:val="VerticalTable"/>
              </w:rPr>
              <w:t xml:space="preserve">Univerzitetna koda predmeta/University course code:</w:t>
            </w:r>
          </w:p>
        </w:tc>
        <w:tc>
          <w:tcPr>
            <w:tcW w:w="2250" w:type="pct"/>
            <w:rStyle w:val="VerticalTable"/>
          </w:tcPr>
          <w:p>
            <w:r>
              <w:rPr>
                <w:rStyle w:val="VerticalTable"/>
              </w:rPr>
              <w:t xml:space="preserve">0642885</w:t>
            </w:r>
          </w:p>
        </w:tc>
      </w:tr>
      <w:tr>
        <w:tc>
          <w:tcPr>
            <w:tcW w:w="2750" w:type="pct"/>
            <w:rStyle w:val="VerticalTable"/>
          </w:tcPr>
          <w:p>
            <w:r>
              <w:rPr>
                <w:rStyle w:val="VerticalTable"/>
              </w:rPr>
              <w:t xml:space="preserve">Koda učne enote na članici/UL Member course code:</w:t>
            </w:r>
          </w:p>
        </w:tc>
        <w:tc>
          <w:tcPr>
            <w:tcW w:w="2250" w:type="pct"/>
            <w:rStyle w:val="VerticalTable"/>
          </w:tcPr>
          <w:p>
            <w:r>
              <w:rPr>
                <w:rStyle w:val="VerticalTable"/>
              </w:rPr>
              <w:t xml:space="preserve">3098-V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  <w:gridCol/>
        <w:gridCol/>
        <w:gridCol/>
        <w:gridCol/>
        <w:gridCol/>
      </w:tblGrid>
      <w:tr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Predavanja</w:t>
            </w:r>
            <w:r>
              <w:br/>
            </w:r>
            <w:r>
              <w:rPr>
                <w:rStyle w:val="DefaultTable"/>
              </w:rPr>
              <w:t xml:space="preserve">/Lectures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Seminar</w:t>
            </w:r>
            <w:r>
              <w:br/>
            </w:r>
            <w:r>
              <w:rPr>
                <w:rStyle w:val="DefaultTable"/>
              </w:rPr>
              <w:t xml:space="preserve">/Seminar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Vaje</w:t>
            </w:r>
            <w:r>
              <w:br/>
            </w:r>
            <w:r>
              <w:rPr>
                <w:rStyle w:val="DefaultTable"/>
              </w:rPr>
              <w:t xml:space="preserve">/Tutorials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Klinične vaje</w:t>
            </w:r>
            <w:r>
              <w:br/>
            </w:r>
            <w:r>
              <w:rPr>
                <w:rStyle w:val="DefaultTable"/>
              </w:rPr>
              <w:t xml:space="preserve">/Clinical tutorials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Druge oblike študija</w:t>
            </w:r>
            <w:r>
              <w:br/>
            </w:r>
            <w:r>
              <w:rPr>
                <w:rStyle w:val="DefaultTable"/>
              </w:rPr>
              <w:t xml:space="preserve">/Other forms of study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Samostojno delo</w:t>
            </w:r>
            <w:r>
              <w:br/>
            </w:r>
            <w:r>
              <w:rPr>
                <w:rStyle w:val="DefaultTable"/>
              </w:rPr>
              <w:t xml:space="preserve">/Individual student work</w:t>
            </w:r>
          </w:p>
        </w:tc>
        <w:tc>
          <w:tcPr>
            <w:tcW w:w="2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ECTS</w:t>
            </w:r>
          </w:p>
        </w:tc>
      </w:tr>
      <w:tr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80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50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40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</w:p>
        </w:tc>
        <w:tc>
          <w:tcPr>
            <w:rStyle w:val="DefaultTable"/>
          </w:tcPr>
          <w:p>
            <w:pPr>
              <w:keepNext/>
              <w:jc w:val="center"/>
            </w:pP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100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9</w:t>
            </w:r>
          </w:p>
        </w:tc>
      </w:tr>
    </w:tbl>
    <w:p/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Nosilec predmeta/Lecturer:</w:t>
            </w:r>
          </w:p>
        </w:tc>
        <w:tc>
          <w:tcPr>
            <w:tcW w:w="3400" w:type="pct"/>
            <w:rStyle w:val="VerticalTable"/>
          </w:tcPr>
          <w:p>
            <w:r>
              <w:rPr>
                <w:rStyle w:val="VerticalTable"/>
              </w:rPr>
              <w:t xml:space="preserve">doc. dr. Andrej Androjna                </w:t>
            </w:r>
          </w:p>
        </w:tc>
      </w:tr>
    </w:tbl>
    <w:p/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predavanj: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seminarjev: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vaj: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kliničnih vaj: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drugih oblik: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praktičnega usposabljanja:</w:t>
            </w:r>
          </w:p>
        </w:tc>
        <w:tc>
          <w:tcPr>
            <w:tcW w:w="3400" w:type="pct"/>
            <w:rStyle w:val="VerticalTable"/>
          </w:tcPr>
          <w:p/>
        </w:tc>
      </w:tr>
    </w:tbl>
    <w:p/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Vrsta predmeta/Course type:</w:t>
            </w:r>
          </w:p>
        </w:tc>
        <w:tc>
          <w:tcPr>
            <w:tcW w:w="3400" w:type="pct"/>
            <w:rStyle w:val="VerticalTable"/>
          </w:tcPr>
          <w:p>
            <w:r>
              <w:rPr>
                <w:rStyle w:val="VerticalTable"/>
              </w:rPr>
              <w:t xml:space="preserve">Obvezni strokovni predmet/Compulsory specialised course</w:t>
            </w:r>
          </w:p>
        </w:tc>
      </w:tr>
    </w:tbl>
    <w:p/>
    <w:tbl>
      <w:tblPr>
        <w:tblStyle w:val="VerticalTable"/>
        <w:tblW w:w="5000" w:type="pct"/>
      </w:tblPr>
      <w:tblGrid>
        <w:gridCol/>
        <w:gridCol/>
        <w:gridCol/>
      </w:tblGrid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Jeziki/Languages:</w:t>
            </w:r>
          </w:p>
        </w:tc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Predavanja/Lectures:</w:t>
            </w:r>
          </w:p>
        </w:tc>
        <w:tc>
          <w:tcPr>
            <w:tcW w:w="1800" w:type="pct"/>
            <w:rStyle w:val="VerticalTable"/>
          </w:tcPr>
          <w:p>
            <w:r>
              <w:rPr>
                <w:rStyle w:val="VerticalTable"/>
              </w:rPr>
              <w:t xml:space="preserve">Slovenščina                    </w:t>
            </w:r>
          </w:p>
        </w:tc>
      </w:tr>
      <w:tr>
        <w:tc>
          <w:tcPr>
            <w:tcW w:w="1600" w:type="pct"/>
            <w:rStyle w:val="VerticalTable"/>
          </w:tcPr>
          <w:p/>
        </w:tc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Vaje/Tutorial:</w:t>
            </w:r>
          </w:p>
        </w:tc>
        <w:tc>
          <w:tcPr>
            <w:tcW w:w="1800" w:type="pct"/>
            <w:rStyle w:val="VerticalTable"/>
          </w:tcPr>
          <w:p>
            <w:r>
              <w:rPr>
                <w:rStyle w:val="VerticalTable"/>
              </w:rPr>
              <w:t xml:space="preserve">Slovenščina                    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Pogoji za vključitev v delo oz. za opravljanje študijskih obveznosti: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Prerequisites:</w:t>
            </w:r>
          </w:p>
        </w:tc>
      </w:tr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Izpolnjevanje pogojev za vpis v Visokošolski strokovni študijski program I. stopnje Strojništvo - Projektno aplikativni program, Vojaški modul.</w:t>
            </w:r>
          </w:p>
        </w:tc>
        <w:tc>
          <w:tcPr>
            <w:rStyle w:val="DefaultTable"/>
          </w:tcPr>
          <w:p>
            <w:r>
              <w:rPr>
                <w:rStyle w:val="DefaultTable"/>
              </w:rPr>
              <w:t xml:space="preserve">Meeting the enrollment conditions for the MECHANICAL ENGINEERING - Project Oriented Applied Programme, Military module.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Vsebina: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Content (Syllabus outline):</w:t>
            </w:r>
          </w:p>
        </w:tc>
      </w:tr>
      <w:tr>
        <w:tc>
          <w:tcPr>
            <w:rStyle w:val="DefaultTable"/>
          </w:tcPr>
          <w:p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zgodovinski razvoj vojskovanja in vojaških ved;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vojna, vojaške operacije, oboroženi spopadi;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okolja bojevanja,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doktrin kopenskih, zračnih in pomorskih sil ter načela delovanja združene taktične enote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kopensko vojskovanje; koncept bojnega delovanja voda, čete, bataljona, samostojno in znotraj enote združene taktične ravni;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vojaške zmogljivosti in oborožitveni sistemi</w:t>
            </w:r>
          </w:p>
        </w:tc>
        <w:tc>
          <w:tcPr>
            <w:rStyle w:val="DefaultTable"/>
          </w:tcPr>
          <w:p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historical development of warfare and military sciences;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war, military operations, armed conflicts;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warfighting environments,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the doctrines of the land, air and naval forces and the principles of operation of the joint tactical unit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land warfare; the concept of combat operations of platoon, troops, battalions, independently and within a unit of the joint tactical level;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military capabilities and armament systems</w:t>
            </w:r>
          </w:p>
        </w:tc>
      </w:tr>
    </w:tbl>
    <w:p/>
    <w:tbl>
      <w:tblPr>
        <w:tblStyle w:val="DefaultTable"/>
        <w:tblW w:w="5000" w:type="pct"/>
      </w:tblPr>
      <w:tblGrid>
        <w:gridCol/>
      </w:tblGrid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Temeljna literatura in viri/Readings:</w:t>
            </w:r>
          </w:p>
        </w:tc>
      </w:tr>
      <w:tr>
        <w:tc>
          <w:tcPr>
            <w:rStyle w:val="DefaultTable"/>
          </w:tcPr>
          <w:p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Furlan, B. (2006). Bojno delovanje : skripta. Ljubljana: Poveljstvo za doktrino, razvoj, izobraževanje in usposabljanje.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Humar, D. (1996). Pehotna (gorska, motorizirana) četa-vod : taktični priročnik za bojevanje. Uprava za razvoj.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Škerbinc, M., Božič, D., Zakrajšek, P., &amp; Petek, A. (2007). Lahki pehotni (motorizirani) bataljon : navodilo. Poveljstvo za doktrino, razvoj, izobraževanje in usposabljanje;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Priročnik za poveljnike oddelkov, MORS, Ljubljana, 1998;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Žabkar, A. (2007). Pehotna oborožitev in oprema : stanje in smeri razvoja. Defensor.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Cilji in kompetence: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Objectives and competences:</w:t>
            </w:r>
          </w:p>
        </w:tc>
      </w:tr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Pri predmetu se študenti naučijo abstraktnega razmišljanja in dobijo znanja za reševanje taktičnih nalog, v bojnem in nebojnega delovanja ter kritično vrednotenja in načrtovanja uporabe vojaških zmogljivosti ter oborožitvenih sistemov.</w:t>
            </w:r>
          </w:p>
        </w:tc>
        <w:tc>
          <w:tcPr>
            <w:rStyle w:val="DefaultTable"/>
          </w:tcPr>
          <w:p>
            <w:r>
              <w:rPr>
                <w:rStyle w:val="DefaultTable"/>
              </w:rPr>
              <w:t xml:space="preserve">The students learn abstract thinking and gain knowledge to solve tactical tasks in combat and non-combat operations, and to critically evaluate and plan the use of military capabilities and armamnent systems.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Predvideni študijski rezultati: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Intended learning outcomes:</w:t>
            </w:r>
          </w:p>
        </w:tc>
      </w:tr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Po uspešnem dokončanju predmeta bodo študenti znali: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razložiti osnovne ideje in pojme iz vsebin temeljnih vojaških ved (taktike, vojaške geografije, vojaške tehnologije) in razvoja prakse vojaškega delovanja,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analizirati in ovrednotijo okolje delovanja vojaških enot;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analizirati vojaške zmogljivosti in oborožitvene sisteme;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uporabiti metode modeliranja bojnega delovanja na taktični ravni;</w:t>
            </w:r>
          </w:p>
        </w:tc>
        <w:tc>
          <w:tcPr>
            <w:rStyle w:val="DefaultTable"/>
          </w:tcPr>
          <w:p>
            <w:r>
              <w:rPr>
                <w:rStyle w:val="DefaultTable"/>
              </w:rPr>
              <w:t xml:space="preserve">Upon successful completion of the course, students will know: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to explain basic ideas and concepts from the contents of basic military sciences (tactics, military geography, military technologies) and the development of military practice,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analyze and evaluate the operating environment of military units;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analyze military capabilities and armament systems;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use combat modelling methods at the tactical level;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Metode poučevanja in učenja: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Learning and teaching methods:</w:t>
            </w:r>
          </w:p>
        </w:tc>
      </w:tr>
      <w:tr>
        <w:tc>
          <w:tcPr>
            <w:rStyle w:val="DefaultTable"/>
          </w:tcPr>
          <w:p>
            <w:pPr>
              <w:pStyle w:val="ListParagraph"/>
              <w:numPr>
                <w:ilvl w:val="0"/>
                <w:numId w:val="7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Predavanja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Seminarji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Vaje</w:t>
            </w:r>
          </w:p>
          <w:p>
            <w:r>
              <w:rPr>
                <w:rStyle w:val="DefaultTable"/>
              </w:rPr>
              <w:t xml:space="preserve">Vaje se izvedejo po planu: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40h: lab. vaje v računalnici (10 študentov/skupino).</w:t>
            </w:r>
          </w:p>
        </w:tc>
        <w:tc>
          <w:tcPr>
            <w:rStyle w:val="DefaultTable"/>
          </w:tcPr>
          <w:p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Lectures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Seminars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Tutorials</w:t>
            </w:r>
          </w:p>
          <w:p>
            <w:r>
              <w:rPr>
                <w:rStyle w:val="DefaultTable"/>
              </w:rPr>
              <w:t xml:space="preserve">The exercises are carried out according to plan: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40h: Lab. computer (10 students / group).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  <w:gridCol/>
      </w:tblGrid>
      <w:tr>
        <w:tc>
          <w:tcPr>
            <w:tcW w:w="2200" w:type="pct"/>
            <w:rStyle w:val="DefaultTable"/>
          </w:tcPr>
          <w:p>
            <w:r>
              <w:rPr>
                <w:rStyle w:val="DefaultTable"/>
              </w:rPr>
              <w:t xml:space="preserve">Načini ocenjevanja:</w:t>
            </w:r>
          </w:p>
        </w:tc>
        <w:tc>
          <w:tcPr>
            <w:tcW w:w="6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Delež/Weight</w:t>
            </w:r>
          </w:p>
        </w:tc>
        <w:tc>
          <w:tcPr>
            <w:tcW w:w="2200" w:type="pct"/>
            <w:rStyle w:val="DefaultTable"/>
          </w:tcPr>
          <w:p>
            <w:r>
              <w:rPr>
                <w:rStyle w:val="DefaultTable"/>
              </w:rPr>
              <w:t xml:space="preserve">Assessment:</w:t>
            </w:r>
          </w:p>
        </w:tc>
      </w:tr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Kolokvij (esejski tip)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20,00 %</w:t>
            </w:r>
          </w:p>
        </w:tc>
        <w:tc>
          <w:tcPr>
            <w:rStyle w:val="DefaultTable"/>
          </w:tcPr>
          <w:p>
            <w:r>
              <w:rPr>
                <w:rStyle w:val="DefaultTable"/>
              </w:rPr>
              <w:t xml:space="preserve">Partial exams</w:t>
            </w:r>
          </w:p>
        </w:tc>
      </w:tr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Seminarski nastop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30,00 %</w:t>
            </w:r>
          </w:p>
        </w:tc>
        <w:tc>
          <w:tcPr>
            <w:rStyle w:val="DefaultTable"/>
          </w:tcPr>
          <w:p>
            <w:r>
              <w:rPr>
                <w:rStyle w:val="DefaultTable"/>
              </w:rPr>
              <w:t xml:space="preserve">Seminars</w:t>
            </w:r>
          </w:p>
        </w:tc>
      </w:tr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Pisni izpit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50,00 %</w:t>
            </w:r>
          </w:p>
        </w:tc>
        <w:tc>
          <w:tcPr>
            <w:rStyle w:val="DefaultTable"/>
          </w:tcPr>
          <w:p>
            <w:r>
              <w:rPr>
                <w:rStyle w:val="DefaultTable"/>
              </w:rPr>
              <w:t xml:space="preserve">Written exam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Ocenjevalna lestvica: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Grading system:</w:t>
            </w:r>
          </w:p>
        </w:tc>
      </w:tr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5 - 10, pri čemer velja, da je pozitivna ocena od 6 - 10</w:t>
            </w:r>
          </w:p>
        </w:tc>
        <w:tc>
          <w:tcPr>
            <w:rStyle w:val="DefaultTable"/>
          </w:tcPr>
          <w:p>
            <w:r>
              <w:rPr>
                <w:rStyle w:val="DefaultTable"/>
              </w:rPr>
              <w:t xml:space="preserve">5 - 10, a student passes the exam if he is graded from 6 to 10</w:t>
            </w:r>
          </w:p>
        </w:tc>
      </w:tr>
    </w:tbl>
    <w:p/>
    <w:tbl>
      <w:tblPr>
        <w:tblStyle w:val="DefaultTable"/>
        <w:tblW w:w="5000" w:type="pct"/>
      </w:tblPr>
      <w:tblGrid>
        <w:gridCol/>
      </w:tblGrid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Reference nosilca/Lecturer's references:</w:t>
            </w:r>
          </w:p>
        </w:tc>
      </w:tr>
      <w:tr>
        <w:tc>
          <w:tcPr>
            <w:rStyle w:val="DefaultTable"/>
          </w:tcPr>
          <w:p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rPr>
                <w:rStyle w:val="DefaultTable"/>
                <w:b/>
              </w:rPr>
              <w:t xml:space="preserve">ANDROJNA Andrej</w:t>
            </w:r>
            <w:r>
              <w:rPr>
                <w:rStyle w:val="DefaultTable"/>
              </w:rPr>
              <w:t xml:space="preserve">, BRCKO SATLER Tanja, PAVIĆ Ivica, GREIDANUS Harm. Assessing Cyber Challenges of Maritime Navigation. Journal of Maritime Science and Engineering, 2020, 8 (10), 776. DOI: </w:t>
            </w:r>
            <w:hyperlink w:history="true" r:id="Rb37e2842837d4a80">
              <w:r>
                <w:rPr>
                  <w:rStyle w:val="Hyperlink"/>
                </w:rPr>
                <w:t xml:space="preserve">10.3390/jmse8100776</w:t>
              </w:r>
            </w:hyperlink>
          </w:p>
          <w:p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rPr>
                <w:rStyle w:val="DefaultTable"/>
              </w:rPr>
              <w:t xml:space="preserve">TWRDY, Elen, </w:t>
            </w:r>
            <w:r>
              <w:rPr>
                <w:rStyle w:val="DefaultTable"/>
                <w:b/>
              </w:rPr>
              <w:t xml:space="preserve">ANDROJNA Andrej</w:t>
            </w:r>
            <w:r>
              <w:rPr>
                <w:rStyle w:val="DefaultTable"/>
              </w:rPr>
              <w:t xml:space="preserve">, PAVLIHA Marko. Proposed model of Coast Guard enhancing maritime security and safety in the Republic of Slovenia. TI=Promet = Traffic &amp; transportation, 2014, Vol. 26, no. 6, str. 497-506. [COBISS.SI-ID 2559075]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rPr>
                <w:rStyle w:val="DefaultTable"/>
                <w:b/>
              </w:rPr>
              <w:t xml:space="preserve">ANDROJNA, Andrej</w:t>
            </w:r>
            <w:r>
              <w:rPr>
                <w:rStyle w:val="DefaultTable"/>
              </w:rPr>
              <w:t xml:space="preserve">, TWRDY, Elen. Cyber Threats to Maritime Critical Infrastructure. V: ČALETA, Denis (ur.), POWERS, James F. (ur.). </w:t>
            </w:r>
            <w:r>
              <w:rPr>
                <w:rStyle w:val="DefaultTable"/>
                <w:i/>
              </w:rPr>
              <w:t xml:space="preserve">Cyber terrorism and extremism as threat to critical infrastructure protection</w:t>
            </w:r>
            <w:r>
              <w:rPr>
                <w:rStyle w:val="DefaultTable"/>
              </w:rPr>
              <w:t xml:space="preserve">. E-ed. Ljubljana: Ministry of Defense, Republic of Slovenia: Institute for Corporative Security Studies; Tampa: Joint Special Operations University. 2020, str. 163-170. [COBISS.SI-ID </w:t>
            </w:r>
            <w:hyperlink w:history="true" r:id="Rcf1e94a33dd44097">
              <w:r>
                <w:rPr>
                  <w:rStyle w:val="Hyperlink"/>
                </w:rPr>
                <w:t xml:space="preserve">41510659</w:t>
              </w:r>
            </w:hyperlink>
            <w:r>
              <w:rPr>
                <w:rStyle w:val="DefaultTable"/>
              </w:rPr>
              <w:t xml:space="preserve">]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rPr>
                <w:rStyle w:val="DefaultTable"/>
                <w:b/>
              </w:rPr>
              <w:t xml:space="preserve">ANDROJNA, Andrej</w:t>
            </w:r>
            <w:r>
              <w:rPr>
                <w:rStyle w:val="DefaultTable"/>
              </w:rPr>
              <w:t xml:space="preserve">. Slovenian contribution to "Dialogue &amp; Cooperation for Maritime Surveillance". V: 7th Regional Seapower Symposium for the Mediterranean and Black Sea Countries. Venice: Italian Navy, 2008. [COBISS.SI-ID 2864739]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rPr>
                <w:rStyle w:val="DefaultTable"/>
                <w:b/>
              </w:rPr>
              <w:t xml:space="preserve">ANDROJNA, Andrej</w:t>
            </w:r>
            <w:r>
              <w:rPr>
                <w:rStyle w:val="DefaultTable"/>
              </w:rPr>
              <w:t xml:space="preserve">. Obalna straža kot dejavnik povečanja varnosti v pomorskem prometu : doktorsko delo. Portorož: [A. Androjna], 201 XIX, 215 str., ilustr. [COBISS.SI-ID 2510179]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rPr>
                <w:rStyle w:val="DefaultTable"/>
                <w:b/>
              </w:rPr>
              <w:t xml:space="preserve">ANDROJNA, Andrej</w:t>
            </w:r>
            <w:r>
              <w:rPr>
                <w:rStyle w:val="DefaultTable"/>
              </w:rPr>
              <w:t xml:space="preserve">. Poveljnik slovenske vojske - uspešen manager : magistrsko delo. [Maribor: A. Androjna], 2002. 168 f., tabele. [COBISS.SI-ID 47439105]</w:t>
            </w:r>
          </w:p>
        </w:tc>
      </w:tr>
    </w:tbl>
    <w:sectPr w:rsidRPr="00C716FC" w:rsidR="00E32890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efaultTableStyle w:val="PlainTable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B"/>
    <w:rsid w:val="000401B9"/>
    <w:rsid w:val="00090302"/>
    <w:rsid w:val="000D7E81"/>
    <w:rsid w:val="001402F8"/>
    <w:rsid w:val="00161343"/>
    <w:rsid w:val="002116B5"/>
    <w:rsid w:val="00241413"/>
    <w:rsid w:val="002B7CE7"/>
    <w:rsid w:val="002E15C9"/>
    <w:rsid w:val="00336864"/>
    <w:rsid w:val="003B6369"/>
    <w:rsid w:val="00434998"/>
    <w:rsid w:val="004350FB"/>
    <w:rsid w:val="004447FF"/>
    <w:rsid w:val="0049772F"/>
    <w:rsid w:val="004E3BCD"/>
    <w:rsid w:val="00553CDF"/>
    <w:rsid w:val="005C2560"/>
    <w:rsid w:val="005D1C50"/>
    <w:rsid w:val="00601559"/>
    <w:rsid w:val="00615EA0"/>
    <w:rsid w:val="006345EB"/>
    <w:rsid w:val="0069778E"/>
    <w:rsid w:val="00752599"/>
    <w:rsid w:val="00762C94"/>
    <w:rsid w:val="007720CE"/>
    <w:rsid w:val="007E45C0"/>
    <w:rsid w:val="00815C9A"/>
    <w:rsid w:val="00832376"/>
    <w:rsid w:val="0085648F"/>
    <w:rsid w:val="00895D99"/>
    <w:rsid w:val="008B7D52"/>
    <w:rsid w:val="008C5984"/>
    <w:rsid w:val="008D2254"/>
    <w:rsid w:val="008D55C1"/>
    <w:rsid w:val="008F361E"/>
    <w:rsid w:val="00901C23"/>
    <w:rsid w:val="00912701"/>
    <w:rsid w:val="009834EA"/>
    <w:rsid w:val="00993DFA"/>
    <w:rsid w:val="009B765E"/>
    <w:rsid w:val="00A04B24"/>
    <w:rsid w:val="00A42E40"/>
    <w:rsid w:val="00A458AB"/>
    <w:rsid w:val="00AA0A0F"/>
    <w:rsid w:val="00AD6198"/>
    <w:rsid w:val="00B13427"/>
    <w:rsid w:val="00B41EA5"/>
    <w:rsid w:val="00B959B9"/>
    <w:rsid w:val="00BA4AE7"/>
    <w:rsid w:val="00BD197C"/>
    <w:rsid w:val="00BD2556"/>
    <w:rsid w:val="00BD7F5C"/>
    <w:rsid w:val="00BF33AC"/>
    <w:rsid w:val="00C407B2"/>
    <w:rsid w:val="00C716FC"/>
    <w:rsid w:val="00CE5856"/>
    <w:rsid w:val="00D25C88"/>
    <w:rsid w:val="00DC7D1B"/>
    <w:rsid w:val="00DD5004"/>
    <w:rsid w:val="00E32890"/>
    <w:rsid w:val="00EF57B9"/>
    <w:rsid w:val="00F1347F"/>
    <w:rsid w:val="00F71EF5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aliases w:val="normal"/>
    <w:qFormat/>
    <w:rsid w:val="002E15C9"/>
    <w:rPr>
      <w:rFonts w:ascii="Garamond" w:hAnsi="Garamond"/>
      <w:sz w:val="22"/>
    </w:r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895D99"/>
    <w:pPr>
      <w:keepNext/>
      <w:keepLines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320" w:after="0" w:line="240" w:lineRule="auto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Heading2">
    <w:name w:val="heading 2"/>
    <w:aliases w:val="heading 2"/>
    <w:basedOn w:val="Normal"/>
    <w:next w:val="Normal"/>
    <w:link w:val="Heading2Char"/>
    <w:uiPriority w:val="9"/>
    <w:unhideWhenUsed/>
    <w:qFormat/>
    <w:rsid w:val="00F1347F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Heading3">
    <w:name w:val="heading 3"/>
    <w:aliases w:val="heading 3"/>
    <w:basedOn w:val="Normal"/>
    <w:next w:val="Normal"/>
    <w:link w:val="Heading3Char"/>
    <w:uiPriority w:val="9"/>
    <w:unhideWhenUsed/>
    <w:qFormat/>
    <w:rsid w:val="00F1347F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Heading4">
    <w:name w:val="heading 4"/>
    <w:aliases w:val="heading 4"/>
    <w:basedOn w:val="Normal"/>
    <w:next w:val="Normal"/>
    <w:link w:val="Heading4Char"/>
    <w:uiPriority w:val="9"/>
    <w:unhideWhenUsed/>
    <w:qFormat/>
    <w:rsid w:val="00F1347F"/>
    <w:pPr>
      <w:keepNext/>
      <w:keepLines/>
      <w:spacing w:before="40" w:after="0"/>
      <w:outlineLvl w:val="3"/>
    </w:pPr>
    <w:rPr>
      <w:rFonts w:eastAsiaTheme="majorEastAsia" w:cstheme="majorBidi"/>
      <w:szCs w:val="22"/>
    </w:rPr>
  </w:style>
  <w:style w:type="paragraph" w:styleId="Heading5">
    <w:name w:val="heading 5"/>
    <w:aliases w:val="heading 5"/>
    <w:basedOn w:val="Normal"/>
    <w:next w:val="Normal"/>
    <w:link w:val="Heading5Char"/>
    <w:uiPriority w:val="9"/>
    <w:unhideWhenUsed/>
    <w:qFormat/>
    <w:rsid w:val="00F1347F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Cs w:val="22"/>
    </w:rPr>
  </w:style>
  <w:style w:type="paragraph" w:styleId="Heading6">
    <w:name w:val="heading 6"/>
    <w:aliases w:val="heading 6"/>
    <w:basedOn w:val="Normal"/>
    <w:next w:val="Normal"/>
    <w:link w:val="Heading6Char"/>
    <w:uiPriority w:val="9"/>
    <w:unhideWhenUsed/>
    <w:qFormat/>
    <w:rsid w:val="00F1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B5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52180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B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32323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B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323232" w:themeColor="tex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heading 1 Char"/>
    <w:basedOn w:val="DefaultParagraphFont"/>
    <w:link w:val="Heading1"/>
    <w:uiPriority w:val="9"/>
    <w:rsid w:val="00895D99"/>
    <w:rPr>
      <w:rFonts w:eastAsiaTheme="majorEastAsia" w:cstheme="majorBidi"/>
      <w:caps/>
      <w:color w:val="7B230B" w:themeColor="accent1" w:themeShade="BF"/>
      <w:sz w:val="32"/>
      <w:szCs w:val="32"/>
    </w:rPr>
  </w:style>
  <w:style w:type="character" w:styleId="Heading2Char" w:customStyle="1">
    <w:name w:val="Heading 2 Char"/>
    <w:aliases w:val="heading 2 Char"/>
    <w:basedOn w:val="DefaultParagraphFont"/>
    <w:link w:val="Heading2"/>
    <w:uiPriority w:val="9"/>
    <w:rsid w:val="00F1347F"/>
    <w:rPr>
      <w:rFonts w:ascii="Arial" w:hAnsi="Arial" w:eastAsiaTheme="majorEastAsia" w:cstheme="majorBidi"/>
      <w:color w:val="404040" w:themeColor="text1" w:themeTint="BF"/>
      <w:sz w:val="28"/>
      <w:szCs w:val="28"/>
    </w:rPr>
  </w:style>
  <w:style w:type="character" w:styleId="Heading3Char" w:customStyle="1">
    <w:name w:val="Heading 3 Char"/>
    <w:aliases w:val="heading 3 Char"/>
    <w:basedOn w:val="DefaultParagraphFont"/>
    <w:link w:val="Heading3"/>
    <w:uiPriority w:val="9"/>
    <w:rsid w:val="00F1347F"/>
    <w:rPr>
      <w:rFonts w:ascii="Arial" w:hAnsi="Arial" w:eastAsiaTheme="majorEastAsia" w:cstheme="majorBidi"/>
      <w:color w:val="323232" w:themeColor="text2"/>
      <w:sz w:val="24"/>
      <w:szCs w:val="24"/>
    </w:rPr>
  </w:style>
  <w:style w:type="character" w:styleId="Heading4Char" w:customStyle="1">
    <w:name w:val="Heading 4 Char"/>
    <w:aliases w:val="heading 4 Char"/>
    <w:basedOn w:val="DefaultParagraphFont"/>
    <w:link w:val="Heading4"/>
    <w:uiPriority w:val="9"/>
    <w:rsid w:val="00F1347F"/>
    <w:rPr>
      <w:rFonts w:ascii="Arial" w:hAnsi="Arial" w:eastAsiaTheme="majorEastAsia" w:cstheme="majorBidi"/>
      <w:sz w:val="22"/>
      <w:szCs w:val="22"/>
    </w:rPr>
  </w:style>
  <w:style w:type="character" w:styleId="Heading5Char" w:customStyle="1">
    <w:name w:val="Heading 5 Char"/>
    <w:aliases w:val="heading 5 Char"/>
    <w:basedOn w:val="DefaultParagraphFont"/>
    <w:link w:val="Heading5"/>
    <w:uiPriority w:val="9"/>
    <w:rsid w:val="00F1347F"/>
    <w:rPr>
      <w:rFonts w:ascii="Arial" w:hAnsi="Arial" w:eastAsiaTheme="majorEastAsia" w:cstheme="majorBidi"/>
      <w:color w:val="323232" w:themeColor="text2"/>
      <w:sz w:val="22"/>
      <w:szCs w:val="22"/>
    </w:rPr>
  </w:style>
  <w:style w:type="character" w:styleId="Heading6Char" w:customStyle="1">
    <w:name w:val="Heading 6 Char"/>
    <w:aliases w:val="heading 6 Char"/>
    <w:basedOn w:val="DefaultParagraphFont"/>
    <w:link w:val="Heading6"/>
    <w:uiPriority w:val="9"/>
    <w:rsid w:val="00F1347F"/>
    <w:rPr>
      <w:rFonts w:ascii="Arial" w:hAnsi="Arial" w:eastAsiaTheme="majorEastAsia" w:cstheme="majorBidi"/>
      <w:i/>
      <w:iCs/>
      <w:color w:val="323232" w:themeColor="text2"/>
      <w:sz w:val="21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116B5"/>
    <w:rPr>
      <w:rFonts w:asciiTheme="majorHAnsi" w:hAnsiTheme="majorHAnsi" w:eastAsiaTheme="majorEastAsia" w:cstheme="majorBidi"/>
      <w:i/>
      <w:iCs/>
      <w:color w:val="521807" w:themeColor="accent1" w:themeShade="80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116B5"/>
    <w:rPr>
      <w:rFonts w:asciiTheme="majorHAnsi" w:hAnsiTheme="majorHAnsi" w:eastAsiaTheme="majorEastAsia" w:cstheme="majorBidi"/>
      <w:b/>
      <w:bCs/>
      <w:color w:val="323232" w:themeColor="text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116B5"/>
    <w:rPr>
      <w:rFonts w:asciiTheme="majorHAnsi" w:hAnsiTheme="majorHAnsi" w:eastAsiaTheme="majorEastAsia" w:cstheme="majorBidi"/>
      <w:b/>
      <w:bCs/>
      <w:i/>
      <w:iCs/>
      <w:color w:val="32323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1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116B5"/>
    <w:pPr>
      <w:spacing w:after="0" w:line="240" w:lineRule="auto"/>
      <w:contextualSpacing/>
    </w:pPr>
    <w:rPr>
      <w:rFonts w:asciiTheme="majorHAnsi" w:hAnsiTheme="majorHAnsi" w:eastAsiaTheme="majorEastAsia" w:cstheme="majorBidi"/>
      <w:color w:val="A5300F" w:themeColor="accent1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116B5"/>
    <w:rPr>
      <w:rFonts w:asciiTheme="majorHAnsi" w:hAnsiTheme="majorHAnsi" w:eastAsiaTheme="majorEastAsia" w:cstheme="majorBidi"/>
      <w:color w:val="A5300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B5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2116B5"/>
    <w:rPr>
      <w:rFonts w:asciiTheme="majorHAnsi" w:hAnsiTheme="majorHAnsi" w:eastAsiaTheme="majorEastAsia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116B5"/>
    <w:rPr>
      <w:b/>
      <w:bCs/>
    </w:rPr>
  </w:style>
  <w:style w:type="character" w:styleId="Emphasis">
    <w:name w:val="Emphasis"/>
    <w:basedOn w:val="DefaultParagraphFont"/>
    <w:uiPriority w:val="20"/>
    <w:qFormat/>
    <w:rsid w:val="002116B5"/>
    <w:rPr>
      <w:i/>
      <w:iCs/>
    </w:rPr>
  </w:style>
  <w:style w:type="paragraph" w:styleId="NoSpacing">
    <w:name w:val="No Spacing"/>
    <w:uiPriority w:val="1"/>
    <w:qFormat/>
    <w:rsid w:val="002E15C9"/>
    <w:pPr>
      <w:spacing w:after="0" w:line="240" w:lineRule="auto"/>
    </w:pPr>
    <w:rPr>
      <w:rFonts w:ascii="Garamond" w:hAnsi="Garamond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116B5"/>
    <w:pPr>
      <w:spacing w:before="160"/>
      <w:ind w:left="720" w:right="720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116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B5"/>
    <w:pPr>
      <w:pBdr>
        <w:left w:val="single" w:color="A5300F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A5300F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16B5"/>
    <w:rPr>
      <w:rFonts w:asciiTheme="majorHAnsi" w:hAnsiTheme="majorHAnsi" w:eastAsiaTheme="majorEastAsia" w:cstheme="majorBidi"/>
      <w:color w:val="A5300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116B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116B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116B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16B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B5"/>
    <w:pPr>
      <w:outlineLvl w:val="9"/>
    </w:pPr>
  </w:style>
  <w:style w:type="table" w:styleId="TableGrid">
    <w:name w:val="Table Grid"/>
    <w:basedOn w:val="TableNormal"/>
    <w:uiPriority w:val="39"/>
    <w:rsid w:val="00762C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color="DFD7CA" w:themeColor="accent4" w:themeTint="66" w:sz="4" w:space="0"/>
        <w:left w:val="single" w:color="DFD7CA" w:themeColor="accent4" w:themeTint="66" w:sz="4" w:space="0"/>
        <w:bottom w:val="single" w:color="DFD7CA" w:themeColor="accent4" w:themeTint="66" w:sz="4" w:space="0"/>
        <w:right w:val="single" w:color="DFD7CA" w:themeColor="accent4" w:themeTint="66" w:sz="4" w:space="0"/>
        <w:insideH w:val="single" w:color="DFD7CA" w:themeColor="accent4" w:themeTint="66" w:sz="4" w:space="0"/>
        <w:insideV w:val="single" w:color="DFD7CA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0C3B0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C3B0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1342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-Accent1">
    <w:name w:val="Grid Table 1 Light Accent 1"/>
    <w:basedOn w:val="TableNormal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color="F49E86" w:themeColor="accent1" w:themeTint="66" w:sz="4" w:space="0"/>
        <w:left w:val="single" w:color="F49E86" w:themeColor="accent1" w:themeTint="66" w:sz="4" w:space="0"/>
        <w:bottom w:val="single" w:color="F49E86" w:themeColor="accent1" w:themeTint="66" w:sz="4" w:space="0"/>
        <w:right w:val="single" w:color="F49E86" w:themeColor="accent1" w:themeTint="66" w:sz="4" w:space="0"/>
        <w:insideH w:val="single" w:color="F49E86" w:themeColor="accent1" w:themeTint="66" w:sz="4" w:space="0"/>
        <w:insideV w:val="single" w:color="F49E86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EE6D49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E6D49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" w:customStyle="1">
    <w:name w:val="PlainTable"/>
    <w:basedOn w:val="TableGridLight"/>
    <w:uiPriority w:val="99"/>
    <w:rsid w:val="00B13427"/>
    <w:tblPr/>
  </w:style>
  <w:style w:type="paragraph" w:styleId="ListParagraph">
    <w:name w:val="List Paragraph"/>
    <w:aliases w:val="ListParagraph"/>
    <w:basedOn w:val="Normal"/>
    <w:uiPriority w:val="34"/>
    <w:qFormat/>
    <w:rsid w:val="00C407B2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efaultTable" w:customStyle="1">
    <w:name w:val="DefaultTable"/>
    <w:basedOn w:val="TableGridLight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VerticalTable" w:customStyle="1">
    <w:name w:val="VerticalTable"/>
    <w:basedOn w:val="TableGridLight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aragraphTable" w:customStyle="1">
    <w:name w:val="ParagraphTable"/>
    <w:basedOn w:val="TableGridLight"/>
    <w:uiPriority w:val="99"/>
    <w:rsid w:val="008D2254"/>
    <w:pPr>
      <w:spacing w:after="120"/>
    </w:pPr>
    <w:tblPr/>
    <w:tblStylePr w:type="firstRow">
      <w:pPr>
        <w:wordWrap/>
        <w:spacing w:after="0" w:afterLines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NestedTable" w:customStyle="1">
    <w:name w:val="NestedTable"/>
    <w:basedOn w:val="TableGrid"/>
    <w:uiPriority w:val="99"/>
    <w:rsid w:val="007E45C0"/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i/>
      </w:rPr>
    </w:tblStylePr>
  </w:style>
  <w:style w:type="character" w:styleId="Hyperlink">
    <w:name w:val="Hyperlink"/>
    <w:unhideWhenUsed/>
    <w:rPr xmlns:w="http://schemas.openxmlformats.org/wordprocessingml/2006/main"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Relationship Type="http://schemas.openxmlformats.org/officeDocument/2006/relationships/numbering" Target="/word/numbering.xml" Id="Rb2bef87099e5468f" /><Relationship Type="http://schemas.openxmlformats.org/officeDocument/2006/relationships/hyperlink" Target="https://doi.org/10.3390/jmse8100776" TargetMode="External" Id="Rb37e2842837d4a80" /><Relationship Type="http://schemas.openxmlformats.org/officeDocument/2006/relationships/hyperlink" Target="https://plus.si.cobiss.net/opac7/bib/41510659?lang=sl" TargetMode="External" Id="Rcf1e94a33dd44097" 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D00D-0C8E-4472-80BA-C9C968F1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Nanut, Matej</cp:lastModifiedBy>
  <cp:revision>64</cp:revision>
  <dcterms:created xsi:type="dcterms:W3CDTF">2015-03-19T09:29:00Z</dcterms:created>
  <dcterms:modified xsi:type="dcterms:W3CDTF">2023-06-13T09:30:00Z</dcterms:modified>
</cp:coreProperties>
</file>