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Vojaški obrambni sistemi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Vojaški obrambni sistemi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Military Defense Systems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FS</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Strojništvo - projektno aplikativni program, prva stopnja, visokošolski strokovni</w:t>
            </w:r>
          </w:p>
        </w:tc>
        <w:tc>
          <w:tcPr>
            <w:tcW w:w="1500" w:type="pct"/>
            <w:rStyle w:val="DefaultTable"/>
          </w:tcPr>
          <w:p>
            <w:r>
              <w:rPr>
                <w:rStyle w:val="DefaultTable"/>
              </w:rPr>
              <w:t xml:space="preserve">Ni členitve (študijski program)                </w:t>
            </w:r>
          </w:p>
        </w:tc>
        <w:tc>
          <w:tcPr>
            <w:tcW w:w="750" w:type="pct"/>
            <w:rStyle w:val="DefaultTable"/>
          </w:tcPr>
          <w:p>
            <w:r>
              <w:rPr>
                <w:rStyle w:val="DefaultTable"/>
              </w:rPr>
              <w:t xml:space="preserve">3. letnik</w:t>
            </w:r>
          </w:p>
        </w:tc>
        <w:tc>
          <w:tcPr>
            <w:tcW w:w="750" w:type="pct"/>
            <w:rStyle w:val="DefaultTable"/>
          </w:tcPr>
          <w:p>
            <w:r>
              <w:rPr>
                <w:rStyle w:val="DefaultTable"/>
              </w:rPr>
              <w:t xml:space="preserve">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0642887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3100-V</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30</w:t>
            </w: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80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doc. dr. Andrej Androjna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Obvezni strokovni predmet/Compulsory specialised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Izpolnjevanje pogojev za vpis v Visokošolski strokovni študijski program I. stopnje Strojništvo - Projektno aplikativni program, Vojaški modul.</w:t>
            </w:r>
          </w:p>
        </w:tc>
        <w:tc>
          <w:tcPr>
            <w:rStyle w:val="DefaultTable"/>
          </w:tcPr>
          <w:p>
            <w:r>
              <w:rPr>
                <w:rStyle w:val="DefaultTable"/>
              </w:rPr>
              <w:t xml:space="preserve">Meeting the enrollment conditions for the MECHANICAL ENGINEERING - Project Oriented Applied Programme, Military module.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
              </w:numPr>
              <w:spacing w:after="0"/>
              <w:ind w:left="357" w:hanging="357"/>
            </w:pPr>
            <w:r>
              <w:rPr>
                <w:rStyle w:val="DefaultTable"/>
              </w:rPr>
              <w:t xml:space="preserve">vojaški podsistem nacionalne varnosti Republike Slovenije,</w:t>
            </w:r>
          </w:p>
          <w:p>
            <w:pPr>
              <w:pStyle w:val="ListParagraph"/>
              <w:numPr>
                <w:ilvl w:val="0"/>
                <w:numId w:val="2"/>
              </w:numPr>
              <w:spacing w:after="0"/>
              <w:ind w:left="357" w:hanging="357"/>
            </w:pPr>
            <w:r>
              <w:rPr>
                <w:rStyle w:val="DefaultTable"/>
              </w:rPr>
              <w:t xml:space="preserve">delovanje Slovenske vojske v sistemu kolektivne obrambe in varnosti,</w:t>
            </w:r>
          </w:p>
          <w:p>
            <w:pPr>
              <w:pStyle w:val="ListParagraph"/>
              <w:numPr>
                <w:ilvl w:val="0"/>
                <w:numId w:val="2"/>
              </w:numPr>
              <w:spacing w:after="0"/>
              <w:ind w:left="357" w:hanging="357"/>
            </w:pPr>
            <w:r>
              <w:rPr>
                <w:rStyle w:val="DefaultTable"/>
              </w:rPr>
              <w:t xml:space="preserve">zakonitost delovanja vojaške sile v vojni, miru in na operacijah kriznega odzivanja,</w:t>
            </w:r>
          </w:p>
          <w:p>
            <w:pPr>
              <w:pStyle w:val="ListParagraph"/>
              <w:numPr>
                <w:ilvl w:val="0"/>
                <w:numId w:val="2"/>
              </w:numPr>
              <w:spacing w:after="0"/>
              <w:ind w:left="357" w:hanging="357"/>
            </w:pPr>
            <w:r>
              <w:rPr>
                <w:rStyle w:val="DefaultTable"/>
              </w:rPr>
              <w:t xml:space="preserve">mednarodno humanitarno pravo.</w:t>
            </w:r>
          </w:p>
        </w:tc>
        <w:tc>
          <w:tcPr>
            <w:rStyle w:val="DefaultTable"/>
          </w:tcPr>
          <w:p>
            <w:pPr>
              <w:pStyle w:val="ListParagraph"/>
              <w:numPr>
                <w:ilvl w:val="0"/>
                <w:numId w:val="3"/>
              </w:numPr>
              <w:spacing w:after="0"/>
              <w:ind w:left="357" w:hanging="357"/>
            </w:pPr>
            <w:r>
              <w:rPr>
                <w:rStyle w:val="DefaultTable"/>
              </w:rPr>
              <w:t xml:space="preserve">military subsystem of national security of the Republic of Slovenia,</w:t>
            </w:r>
          </w:p>
          <w:p>
            <w:pPr>
              <w:pStyle w:val="ListParagraph"/>
              <w:numPr>
                <w:ilvl w:val="0"/>
                <w:numId w:val="3"/>
              </w:numPr>
              <w:spacing w:after="0"/>
              <w:ind w:left="357" w:hanging="357"/>
            </w:pPr>
            <w:r>
              <w:rPr>
                <w:rStyle w:val="DefaultTable"/>
              </w:rPr>
              <w:t xml:space="preserve">the operation of the Slovenian Armed Forces in the system of collective defense and security,</w:t>
            </w:r>
          </w:p>
          <w:p>
            <w:pPr>
              <w:pStyle w:val="ListParagraph"/>
              <w:numPr>
                <w:ilvl w:val="0"/>
                <w:numId w:val="3"/>
              </w:numPr>
              <w:spacing w:after="0"/>
              <w:ind w:left="357" w:hanging="357"/>
            </w:pPr>
            <w:r>
              <w:rPr>
                <w:rStyle w:val="DefaultTable"/>
              </w:rPr>
              <w:t xml:space="preserve">the legality of the operation of military force in war, peace and crisis response operations,</w:t>
            </w:r>
          </w:p>
          <w:p>
            <w:pPr>
              <w:pStyle w:val="ListParagraph"/>
              <w:numPr>
                <w:ilvl w:val="0"/>
                <w:numId w:val="3"/>
              </w:numPr>
              <w:spacing w:after="0"/>
              <w:ind w:left="357" w:hanging="357"/>
            </w:pPr>
            <w:r>
              <w:rPr>
                <w:rStyle w:val="DefaultTable"/>
              </w:rPr>
              <w:t xml:space="preserve">international humanitarian law.</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4"/>
              </w:numPr>
              <w:spacing w:after="0"/>
              <w:ind w:left="357" w:hanging="357"/>
            </w:pPr>
            <w:r>
              <w:rPr>
                <w:rStyle w:val="DefaultTable"/>
              </w:rPr>
              <w:t xml:space="preserve">Sancin, V., Švarc, D., &amp; Ambrož, M. (2009). Mednarodno pravo oboroženih spopadov. Poveljstvo za doktrino, razvoj, izobraževanje in usposabljanje. http://dk.mors.si/IzpisGradiva.php?id=610.</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Pri predmetu študenti dobijo znanja s področja organizacije in delovanja vojaškega podsistema v okviru zagotavljanja nacionalne varnosti.  Študenti spoznajo uporabo mednarodnega vojaškega prava in dobijo teoretične osnove za njegovo aplikacijo pri načrtovanju delovanj.</w:t>
            </w:r>
          </w:p>
        </w:tc>
        <w:tc>
          <w:tcPr>
            <w:rStyle w:val="DefaultTable"/>
          </w:tcPr>
          <w:p>
            <w:r>
              <w:rPr>
                <w:rStyle w:val="DefaultTable"/>
              </w:rPr>
              <w:t xml:space="preserve">Students gain knowledge in the field of organization and operation of the military subsystem to ensure national security. Students learn about applying international military law and get the theoretical basis for its application in action planning.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Po uspešnem dokončanju predmeta bodo študenti znali:</w:t>
            </w:r>
          </w:p>
          <w:p>
            <w:pPr>
              <w:pStyle w:val="ListParagraph"/>
              <w:numPr>
                <w:ilvl w:val="0"/>
                <w:numId w:val="5"/>
              </w:numPr>
              <w:spacing w:after="0"/>
              <w:ind w:left="357" w:hanging="357"/>
            </w:pPr>
            <w:r>
              <w:rPr>
                <w:rStyle w:val="DefaultTable"/>
              </w:rPr>
              <w:t xml:space="preserve">opredeliti in razložiti vojaški podsistem nacionalne varnosti;</w:t>
            </w:r>
          </w:p>
          <w:p>
            <w:pPr>
              <w:pStyle w:val="ListParagraph"/>
              <w:numPr>
                <w:ilvl w:val="0"/>
                <w:numId w:val="5"/>
              </w:numPr>
              <w:spacing w:after="0"/>
              <w:ind w:left="357" w:hanging="357"/>
            </w:pPr>
            <w:r>
              <w:rPr>
                <w:rStyle w:val="DefaultTable"/>
              </w:rPr>
              <w:t xml:space="preserve">opredeliti, razložiti in oceniti indikatorje vojaškega ogrožanja;</w:t>
            </w:r>
          </w:p>
          <w:p>
            <w:pPr>
              <w:pStyle w:val="ListParagraph"/>
              <w:numPr>
                <w:ilvl w:val="0"/>
                <w:numId w:val="5"/>
              </w:numPr>
              <w:spacing w:after="0"/>
              <w:ind w:left="357" w:hanging="357"/>
            </w:pPr>
            <w:r>
              <w:rPr>
                <w:rStyle w:val="DefaultTable"/>
              </w:rPr>
              <w:t xml:space="preserve">uporabiti pravila delovanja vojaške sile v vojni, miru in na operacijah kriznega odzivanja;</w:t>
            </w:r>
          </w:p>
          <w:p>
            <w:pPr>
              <w:pStyle w:val="ListParagraph"/>
              <w:numPr>
                <w:ilvl w:val="0"/>
                <w:numId w:val="5"/>
              </w:numPr>
              <w:spacing w:after="0"/>
              <w:ind w:left="357" w:hanging="357"/>
            </w:pPr>
            <w:r>
              <w:rPr>
                <w:rStyle w:val="DefaultTable"/>
              </w:rPr>
              <w:t xml:space="preserve">upoštevati določila mednarodnega vojaškega prava pri načrtovanju vojaških delovanj.</w:t>
            </w:r>
          </w:p>
        </w:tc>
        <w:tc>
          <w:tcPr>
            <w:rStyle w:val="DefaultTable"/>
          </w:tcPr>
          <w:p>
            <w:r>
              <w:rPr>
                <w:rStyle w:val="DefaultTable"/>
              </w:rPr>
              <w:t xml:space="preserve">Upon successful completion of the course, students will know:</w:t>
            </w:r>
          </w:p>
          <w:p>
            <w:pPr>
              <w:pStyle w:val="ListParagraph"/>
              <w:numPr>
                <w:ilvl w:val="0"/>
                <w:numId w:val="6"/>
              </w:numPr>
              <w:spacing w:after="0"/>
              <w:ind w:left="357" w:hanging="357"/>
            </w:pPr>
            <w:r>
              <w:rPr>
                <w:rStyle w:val="DefaultTable"/>
              </w:rPr>
              <w:t xml:space="preserve">define and explain the military national security subsystem;</w:t>
            </w:r>
          </w:p>
          <w:p>
            <w:pPr>
              <w:pStyle w:val="ListParagraph"/>
              <w:numPr>
                <w:ilvl w:val="0"/>
                <w:numId w:val="6"/>
              </w:numPr>
              <w:spacing w:after="0"/>
              <w:ind w:left="357" w:hanging="357"/>
            </w:pPr>
            <w:r>
              <w:rPr>
                <w:rStyle w:val="DefaultTable"/>
              </w:rPr>
              <w:t xml:space="preserve">identify, explain and assess indicators of military threat;</w:t>
            </w:r>
          </w:p>
          <w:p>
            <w:pPr>
              <w:pStyle w:val="ListParagraph"/>
              <w:numPr>
                <w:ilvl w:val="0"/>
                <w:numId w:val="6"/>
              </w:numPr>
              <w:spacing w:after="0"/>
              <w:ind w:left="357" w:hanging="357"/>
            </w:pPr>
            <w:r>
              <w:rPr>
                <w:rStyle w:val="DefaultTable"/>
              </w:rPr>
              <w:t xml:space="preserve">apply the rules of operation of the military force in war, peace and crisis response operations;</w:t>
            </w:r>
          </w:p>
          <w:p>
            <w:pPr>
              <w:pStyle w:val="ListParagraph"/>
              <w:numPr>
                <w:ilvl w:val="0"/>
                <w:numId w:val="6"/>
              </w:numPr>
              <w:spacing w:after="0"/>
              <w:ind w:left="357" w:hanging="357"/>
            </w:pPr>
            <w:r>
              <w:rPr>
                <w:rStyle w:val="DefaultTable"/>
              </w:rPr>
              <w:t xml:space="preserve">take into account the provisions of international military law when planning military operations.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pPr>
              <w:pStyle w:val="ListParagraph"/>
              <w:numPr>
                <w:ilvl w:val="0"/>
                <w:numId w:val="7"/>
              </w:numPr>
              <w:spacing w:after="0"/>
              <w:ind w:left="357" w:hanging="357"/>
            </w:pPr>
            <w:r>
              <w:rPr>
                <w:rStyle w:val="DefaultTable"/>
              </w:rPr>
              <w:t xml:space="preserve">Predavanja</w:t>
            </w:r>
          </w:p>
          <w:p>
            <w:pPr>
              <w:pStyle w:val="ListParagraph"/>
              <w:numPr>
                <w:ilvl w:val="0"/>
                <w:numId w:val="7"/>
              </w:numPr>
              <w:spacing w:after="0"/>
              <w:ind w:left="357" w:hanging="357"/>
            </w:pPr>
            <w:r>
              <w:rPr>
                <w:rStyle w:val="DefaultTable"/>
              </w:rPr>
              <w:t xml:space="preserve">Seminarji</w:t>
            </w:r>
          </w:p>
        </w:tc>
        <w:tc>
          <w:tcPr>
            <w:rStyle w:val="DefaultTable"/>
          </w:tcPr>
          <w:p>
            <w:pPr>
              <w:pStyle w:val="ListParagraph"/>
              <w:numPr>
                <w:ilvl w:val="0"/>
                <w:numId w:val="8"/>
              </w:numPr>
              <w:spacing w:after="0"/>
              <w:ind w:left="357" w:hanging="357"/>
            </w:pPr>
            <w:r>
              <w:rPr>
                <w:rStyle w:val="DefaultTable"/>
              </w:rPr>
              <w:t xml:space="preserve">Lectures</w:t>
            </w:r>
          </w:p>
          <w:p>
            <w:pPr>
              <w:pStyle w:val="ListParagraph"/>
              <w:numPr>
                <w:ilvl w:val="0"/>
                <w:numId w:val="8"/>
              </w:numPr>
              <w:spacing w:after="0"/>
              <w:ind w:left="357" w:hanging="357"/>
            </w:pPr>
            <w:r>
              <w:rPr>
                <w:rStyle w:val="DefaultTable"/>
              </w:rPr>
              <w:t xml:space="preserve">Seminars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Kolokvij</w:t>
            </w:r>
          </w:p>
        </w:tc>
        <w:tc>
          <w:tcPr>
            <w:rStyle w:val="DefaultTable"/>
          </w:tcPr>
          <w:p>
            <w:pPr>
              <w:keepNext/>
              <w:jc w:val="center"/>
            </w:pPr>
            <w:r>
              <w:rPr>
                <w:rStyle w:val="DefaultTable"/>
              </w:rPr>
              <w:t xml:space="preserve">40,00 %</w:t>
            </w:r>
          </w:p>
        </w:tc>
        <w:tc>
          <w:tcPr>
            <w:rStyle w:val="DefaultTable"/>
          </w:tcPr>
          <w:p>
            <w:r>
              <w:rPr>
                <w:rStyle w:val="DefaultTable"/>
              </w:rPr>
              <w:t xml:space="preserve">2 partial exams</w:t>
            </w:r>
          </w:p>
        </w:tc>
      </w:tr>
      <w:tr>
        <w:tc>
          <w:tcPr>
            <w:rStyle w:val="DefaultTable"/>
          </w:tcPr>
          <w:p>
            <w:r>
              <w:rPr>
                <w:rStyle w:val="DefaultTable"/>
              </w:rPr>
              <w:t xml:space="preserve">Seminar</w:t>
            </w:r>
          </w:p>
        </w:tc>
        <w:tc>
          <w:tcPr>
            <w:rStyle w:val="DefaultTable"/>
          </w:tcPr>
          <w:p>
            <w:pPr>
              <w:keepNext/>
              <w:jc w:val="center"/>
            </w:pPr>
            <w:r>
              <w:rPr>
                <w:rStyle w:val="DefaultTable"/>
              </w:rPr>
              <w:t xml:space="preserve">10,00 %</w:t>
            </w:r>
          </w:p>
        </w:tc>
        <w:tc>
          <w:tcPr>
            <w:rStyle w:val="DefaultTable"/>
          </w:tcPr>
          <w:p>
            <w:r>
              <w:rPr>
                <w:rStyle w:val="DefaultTable"/>
              </w:rPr>
              <w:t xml:space="preserve">Seminars</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Written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9"/>
              </w:numPr>
              <w:spacing w:after="0"/>
              <w:ind w:left="357" w:hanging="357"/>
            </w:pPr>
            <w:r>
              <w:rPr>
                <w:rStyle w:val="DefaultTable"/>
                <w:b/>
              </w:rPr>
              <w:t xml:space="preserve">ANDROJNA Andrej</w:t>
            </w:r>
            <w:r>
              <w:rPr>
                <w:rStyle w:val="DefaultTable"/>
              </w:rPr>
              <w:t xml:space="preserve">, BRCKO SATLER Tanja, PAVIĆ Ivica, GREIDANUS Harm. Assessing Cyber Challenges of Maritime Navigation. Journal of Maritime Science and Engineering, 2020, 8 (10), 776. DOI: </w:t>
            </w:r>
            <w:hyperlink w:history="true" r:id="R74803c71232a4ced">
              <w:r>
                <w:rPr>
                  <w:rStyle w:val="Hyperlink"/>
                </w:rPr>
                <w:t xml:space="preserve">10.3390/jmse8100776</w:t>
              </w:r>
            </w:hyperlink>
          </w:p>
          <w:p>
            <w:pPr>
              <w:pStyle w:val="ListParagraph"/>
              <w:numPr>
                <w:ilvl w:val="0"/>
                <w:numId w:val="9"/>
              </w:numPr>
              <w:spacing w:after="0"/>
              <w:ind w:left="357" w:hanging="357"/>
            </w:pPr>
            <w:r>
              <w:rPr>
                <w:rStyle w:val="DefaultTable"/>
              </w:rPr>
              <w:t xml:space="preserve">TWRDY, Elen, </w:t>
            </w:r>
            <w:r>
              <w:rPr>
                <w:rStyle w:val="DefaultTable"/>
                <w:b/>
              </w:rPr>
              <w:t xml:space="preserve">ANDROJNA Andrej</w:t>
            </w:r>
            <w:r>
              <w:rPr>
                <w:rStyle w:val="DefaultTable"/>
              </w:rPr>
              <w:t xml:space="preserve">, PAVLIHA Marko. Proposed model of Coast Guard enhancing maritime security and safety in the Republic of Slovenia. TI=Promet = Traffic &amp; transportation, 2014, Vol. 26, no. 6, str. 497-506. [COBISS.SI-ID 2559075]</w:t>
            </w:r>
          </w:p>
          <w:p>
            <w:pPr>
              <w:pStyle w:val="ListParagraph"/>
              <w:numPr>
                <w:ilvl w:val="0"/>
                <w:numId w:val="9"/>
              </w:numPr>
              <w:spacing w:after="0"/>
              <w:ind w:left="357" w:hanging="357"/>
            </w:pPr>
            <w:r>
              <w:rPr>
                <w:rStyle w:val="DefaultTable"/>
                <w:b/>
              </w:rPr>
              <w:t xml:space="preserve">ANDROJNA, Andrej</w:t>
            </w:r>
            <w:r>
              <w:rPr>
                <w:rStyle w:val="DefaultTable"/>
              </w:rPr>
              <w:t xml:space="preserve">, TWRDY, Elen. Cyber Threats to Maritime Critical Infrastructure. V: ČALETA, Denis (ur.), POWERS, James F. (ur.). </w:t>
            </w:r>
            <w:r>
              <w:rPr>
                <w:rStyle w:val="DefaultTable"/>
                <w:i/>
              </w:rPr>
              <w:t xml:space="preserve">Cyber terrorism and extremism as threat to critical infrastructure protection</w:t>
            </w:r>
            <w:r>
              <w:rPr>
                <w:rStyle w:val="DefaultTable"/>
              </w:rPr>
              <w:t xml:space="preserve">. E-ed. Ljubljana: Ministry of Defense, Republic of Slovenia: Institute for Corporative Security Studies; Tampa: Joint Special Operations University. 2020, str. 163-170. [COBISS.SI-ID </w:t>
            </w:r>
            <w:hyperlink w:history="true" r:id="R2ccadf9a6af2465a">
              <w:r>
                <w:rPr>
                  <w:rStyle w:val="Hyperlink"/>
                </w:rPr>
                <w:t xml:space="preserve">41510659</w:t>
              </w:r>
            </w:hyperlink>
            <w:r>
              <w:rPr>
                <w:rStyle w:val="DefaultTable"/>
              </w:rPr>
              <w:t xml:space="preserve">]</w:t>
            </w:r>
          </w:p>
          <w:p>
            <w:pPr>
              <w:pStyle w:val="ListParagraph"/>
              <w:numPr>
                <w:ilvl w:val="0"/>
                <w:numId w:val="9"/>
              </w:numPr>
              <w:spacing w:after="0"/>
              <w:ind w:left="357" w:hanging="357"/>
            </w:pPr>
            <w:r>
              <w:rPr>
                <w:rStyle w:val="DefaultTable"/>
                <w:b/>
              </w:rPr>
              <w:t xml:space="preserve">ANDROJNA, Andrej</w:t>
            </w:r>
            <w:r>
              <w:rPr>
                <w:rStyle w:val="DefaultTable"/>
              </w:rPr>
              <w:t xml:space="preserve">. Slovenian contribution to "Dialogue &amp; Cooperation for Maritime Surveillance". V: 7th Regional Seapower Symposium for the Mediterranean and Black Sea Countries. Venice: Italian Navy, 2008. [COBISS.SI-ID 2864739]</w:t>
            </w:r>
          </w:p>
        </w:tc>
      </w:tr>
    </w:tbl>
    <w:sectPr w:rsidRPr="00C716FC" w:rsidR="00E3289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lang w:val="sl-SI"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color="auto" w:sz="4" w:space="1"/>
        <w:left w:val="single" w:color="auto" w:sz="4" w:space="4"/>
        <w:bottom w:val="single" w:color="auto" w:sz="4" w:space="1"/>
        <w:right w:val="single" w:color="auto" w:sz="4" w:space="4"/>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hAnsiTheme="majorHAnsi" w:eastAsiaTheme="majorEastAsia"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hAnsiTheme="majorHAnsi" w:eastAsiaTheme="majorEastAsia"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hAnsiTheme="majorHAnsi" w:eastAsiaTheme="majorEastAsia" w:cstheme="majorBidi"/>
      <w:b/>
      <w:bCs/>
      <w:i/>
      <w:iCs/>
      <w:color w:val="323232"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styleId="Heading2Char" w:customStyle="1">
    <w:name w:val="Heading 2 Char"/>
    <w:aliases w:val="heading 2 Char"/>
    <w:basedOn w:val="DefaultParagraphFont"/>
    <w:link w:val="Heading2"/>
    <w:uiPriority w:val="9"/>
    <w:rsid w:val="00F1347F"/>
    <w:rPr>
      <w:rFonts w:ascii="Arial" w:hAnsi="Arial" w:eastAsiaTheme="majorEastAsia" w:cstheme="majorBidi"/>
      <w:color w:val="404040" w:themeColor="text1" w:themeTint="BF"/>
      <w:sz w:val="28"/>
      <w:szCs w:val="28"/>
    </w:rPr>
  </w:style>
  <w:style w:type="character" w:styleId="Heading3Char" w:customStyle="1">
    <w:name w:val="Heading 3 Char"/>
    <w:aliases w:val="heading 3 Char"/>
    <w:basedOn w:val="DefaultParagraphFont"/>
    <w:link w:val="Heading3"/>
    <w:uiPriority w:val="9"/>
    <w:rsid w:val="00F1347F"/>
    <w:rPr>
      <w:rFonts w:ascii="Arial" w:hAnsi="Arial" w:eastAsiaTheme="majorEastAsia" w:cstheme="majorBidi"/>
      <w:color w:val="323232" w:themeColor="text2"/>
      <w:sz w:val="24"/>
      <w:szCs w:val="24"/>
    </w:rPr>
  </w:style>
  <w:style w:type="character" w:styleId="Heading4Char" w:customStyle="1">
    <w:name w:val="Heading 4 Char"/>
    <w:aliases w:val="heading 4 Char"/>
    <w:basedOn w:val="DefaultParagraphFont"/>
    <w:link w:val="Heading4"/>
    <w:uiPriority w:val="9"/>
    <w:rsid w:val="00F1347F"/>
    <w:rPr>
      <w:rFonts w:ascii="Arial" w:hAnsi="Arial" w:eastAsiaTheme="majorEastAsia" w:cstheme="majorBidi"/>
      <w:sz w:val="22"/>
      <w:szCs w:val="22"/>
    </w:rPr>
  </w:style>
  <w:style w:type="character" w:styleId="Heading5Char" w:customStyle="1">
    <w:name w:val="Heading 5 Char"/>
    <w:aliases w:val="heading 5 Char"/>
    <w:basedOn w:val="DefaultParagraphFont"/>
    <w:link w:val="Heading5"/>
    <w:uiPriority w:val="9"/>
    <w:rsid w:val="00F1347F"/>
    <w:rPr>
      <w:rFonts w:ascii="Arial" w:hAnsi="Arial" w:eastAsiaTheme="majorEastAsia" w:cstheme="majorBidi"/>
      <w:color w:val="323232" w:themeColor="text2"/>
      <w:sz w:val="22"/>
      <w:szCs w:val="22"/>
    </w:rPr>
  </w:style>
  <w:style w:type="character" w:styleId="Heading6Char" w:customStyle="1">
    <w:name w:val="Heading 6 Char"/>
    <w:aliases w:val="heading 6 Char"/>
    <w:basedOn w:val="DefaultParagraphFont"/>
    <w:link w:val="Heading6"/>
    <w:uiPriority w:val="9"/>
    <w:rsid w:val="00F1347F"/>
    <w:rPr>
      <w:rFonts w:ascii="Arial" w:hAnsi="Arial" w:eastAsiaTheme="majorEastAsia" w:cstheme="majorBidi"/>
      <w:i/>
      <w:iCs/>
      <w:color w:val="323232" w:themeColor="text2"/>
      <w:sz w:val="21"/>
      <w:szCs w:val="21"/>
    </w:rPr>
  </w:style>
  <w:style w:type="character" w:styleId="Heading7Char" w:customStyle="1">
    <w:name w:val="Heading 7 Char"/>
    <w:basedOn w:val="DefaultParagraphFont"/>
    <w:link w:val="Heading7"/>
    <w:uiPriority w:val="9"/>
    <w:semiHidden/>
    <w:rsid w:val="002116B5"/>
    <w:rPr>
      <w:rFonts w:asciiTheme="majorHAnsi" w:hAnsiTheme="majorHAnsi" w:eastAsiaTheme="majorEastAsia" w:cstheme="majorBidi"/>
      <w:i/>
      <w:iCs/>
      <w:color w:val="521807" w:themeColor="accent1" w:themeShade="80"/>
      <w:sz w:val="21"/>
      <w:szCs w:val="21"/>
    </w:rPr>
  </w:style>
  <w:style w:type="character" w:styleId="Heading8Char" w:customStyle="1">
    <w:name w:val="Heading 8 Char"/>
    <w:basedOn w:val="DefaultParagraphFont"/>
    <w:link w:val="Heading8"/>
    <w:uiPriority w:val="9"/>
    <w:semiHidden/>
    <w:rsid w:val="002116B5"/>
    <w:rPr>
      <w:rFonts w:asciiTheme="majorHAnsi" w:hAnsiTheme="majorHAnsi" w:eastAsiaTheme="majorEastAsia" w:cstheme="majorBidi"/>
      <w:b/>
      <w:bCs/>
      <w:color w:val="323232" w:themeColor="text2"/>
    </w:rPr>
  </w:style>
  <w:style w:type="character" w:styleId="Heading9Char" w:customStyle="1">
    <w:name w:val="Heading 9 Char"/>
    <w:basedOn w:val="DefaultParagraphFont"/>
    <w:link w:val="Heading9"/>
    <w:uiPriority w:val="9"/>
    <w:semiHidden/>
    <w:rsid w:val="002116B5"/>
    <w:rPr>
      <w:rFonts w:asciiTheme="majorHAnsi" w:hAnsiTheme="majorHAnsi" w:eastAsiaTheme="majorEastAsia"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hAnsiTheme="majorHAnsi" w:eastAsiaTheme="majorEastAsia" w:cstheme="majorBidi"/>
      <w:color w:val="A5300F" w:themeColor="accent1"/>
      <w:spacing w:val="-10"/>
      <w:sz w:val="56"/>
      <w:szCs w:val="56"/>
    </w:rPr>
  </w:style>
  <w:style w:type="character" w:styleId="TitleChar" w:customStyle="1">
    <w:name w:val="Title Char"/>
    <w:basedOn w:val="DefaultParagraphFont"/>
    <w:link w:val="Title"/>
    <w:uiPriority w:val="10"/>
    <w:rsid w:val="002116B5"/>
    <w:rPr>
      <w:rFonts w:asciiTheme="majorHAnsi" w:hAnsiTheme="majorHAnsi" w:eastAsiaTheme="majorEastAsia"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2116B5"/>
    <w:rPr>
      <w:rFonts w:asciiTheme="majorHAnsi" w:hAnsiTheme="majorHAnsi" w:eastAsiaTheme="majorEastAsia"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color="A5300F" w:themeColor="accent1" w:sz="18" w:space="12"/>
      </w:pBdr>
      <w:spacing w:before="100" w:beforeAutospacing="1" w:line="300" w:lineRule="auto"/>
      <w:ind w:left="1224" w:right="1224"/>
    </w:pPr>
    <w:rPr>
      <w:rFonts w:asciiTheme="majorHAnsi" w:hAnsiTheme="majorHAnsi" w:eastAsiaTheme="majorEastAsia" w:cstheme="majorBidi"/>
      <w:color w:val="A5300F" w:themeColor="accent1"/>
      <w:sz w:val="28"/>
      <w:szCs w:val="28"/>
    </w:rPr>
  </w:style>
  <w:style w:type="character" w:styleId="IntenseQuoteChar" w:customStyle="1">
    <w:name w:val="Intense Quote Char"/>
    <w:basedOn w:val="DefaultParagraphFont"/>
    <w:link w:val="IntenseQuote"/>
    <w:uiPriority w:val="30"/>
    <w:rsid w:val="002116B5"/>
    <w:rPr>
      <w:rFonts w:asciiTheme="majorHAnsi" w:hAnsiTheme="majorHAnsi" w:eastAsiaTheme="majorEastAsia"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color="DFD7CA" w:themeColor="accent4" w:themeTint="66" w:sz="4" w:space="0"/>
        <w:left w:val="single" w:color="DFD7CA" w:themeColor="accent4" w:themeTint="66" w:sz="4" w:space="0"/>
        <w:bottom w:val="single" w:color="DFD7CA" w:themeColor="accent4" w:themeTint="66" w:sz="4" w:space="0"/>
        <w:right w:val="single" w:color="DFD7CA" w:themeColor="accent4" w:themeTint="66" w:sz="4" w:space="0"/>
        <w:insideH w:val="single" w:color="DFD7CA" w:themeColor="accent4" w:themeTint="66" w:sz="4" w:space="0"/>
        <w:insideV w:val="single" w:color="DFD7CA" w:themeColor="accent4" w:themeTint="66" w:sz="4" w:space="0"/>
      </w:tblBorders>
    </w:tblPr>
    <w:tblStylePr w:type="firstRow">
      <w:rPr>
        <w:b/>
        <w:bCs/>
      </w:rPr>
      <w:tblPr/>
      <w:tcPr>
        <w:tcBorders>
          <w:bottom w:val="single" w:color="D0C3B0" w:themeColor="accent4" w:themeTint="99" w:sz="12" w:space="0"/>
        </w:tcBorders>
      </w:tcPr>
    </w:tblStylePr>
    <w:tblStylePr w:type="lastRow">
      <w:rPr>
        <w:b/>
        <w:bCs/>
      </w:rPr>
      <w:tblPr/>
      <w:tcPr>
        <w:tcBorders>
          <w:top w:val="double" w:color="D0C3B0" w:themeColor="accent4"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color="F49E86" w:themeColor="accent1" w:themeTint="66" w:sz="4" w:space="0"/>
        <w:left w:val="single" w:color="F49E86" w:themeColor="accent1" w:themeTint="66" w:sz="4" w:space="0"/>
        <w:bottom w:val="single" w:color="F49E86" w:themeColor="accent1" w:themeTint="66" w:sz="4" w:space="0"/>
        <w:right w:val="single" w:color="F49E86" w:themeColor="accent1" w:themeTint="66" w:sz="4" w:space="0"/>
        <w:insideH w:val="single" w:color="F49E86" w:themeColor="accent1" w:themeTint="66" w:sz="4" w:space="0"/>
        <w:insideV w:val="single" w:color="F49E86" w:themeColor="accent1" w:themeTint="66" w:sz="4" w:space="0"/>
      </w:tblBorders>
    </w:tblPr>
    <w:tblStylePr w:type="firstRow">
      <w:rPr>
        <w:b/>
        <w:bCs/>
      </w:rPr>
      <w:tblPr/>
      <w:tcPr>
        <w:tcBorders>
          <w:bottom w:val="single" w:color="EE6D49" w:themeColor="accent1" w:themeTint="99" w:sz="12" w:space="0"/>
        </w:tcBorders>
      </w:tcPr>
    </w:tblStylePr>
    <w:tblStylePr w:type="lastRow">
      <w:rPr>
        <w:b/>
        <w:bCs/>
      </w:rPr>
      <w:tblPr/>
      <w:tcPr>
        <w:tcBorders>
          <w:top w:val="double" w:color="EE6D49" w:themeColor="accent1" w:themeTint="99" w:sz="2" w:space="0"/>
        </w:tcBorders>
      </w:tcPr>
    </w:tblStylePr>
    <w:tblStylePr w:type="firstCol">
      <w:rPr>
        <w:b/>
        <w:bCs/>
      </w:rPr>
    </w:tblStylePr>
    <w:tblStylePr w:type="lastCol">
      <w:rPr>
        <w:b/>
        <w:bCs/>
      </w:rPr>
    </w:tblStylePr>
  </w:style>
  <w:style w:type="table" w:styleId="PlainTable" w:customStyle="1">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DefaultTable" w:customStyle="1">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styleId="VerticalTable" w:customStyle="1">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styleId="ParagraphTable" w:customStyle="1">
    <w:name w:val="ParagraphTable"/>
    <w:basedOn w:val="TableGridLight"/>
    <w:uiPriority w:val="99"/>
    <w:rsid w:val="008D2254"/>
    <w:pPr>
      <w:spacing w:after="120"/>
    </w:pPr>
    <w:tblPr/>
    <w:tblStylePr w:type="firstRow">
      <w:pPr>
        <w:wordWrap/>
        <w:spacing w:after="0" w:afterLines="0" w:afterAutospacing="0"/>
      </w:pPr>
      <w:rPr>
        <w:b/>
      </w:rPr>
      <w:tblPr/>
      <w:tcPr>
        <w:tcBorders>
          <w:top w:val="nil"/>
          <w:left w:val="nil"/>
          <w:bottom w:val="nil"/>
          <w:right w:val="nil"/>
          <w:insideH w:val="nil"/>
          <w:insideV w:val="nil"/>
          <w:tl2br w:val="nil"/>
          <w:tr2bl w:val="nil"/>
        </w:tcBorders>
      </w:tcPr>
    </w:tblStylePr>
  </w:style>
  <w:style w:type="table" w:styleId="NestedTable" w:customStyle="1">
    <w:name w:val="NestedTable"/>
    <w:basedOn w:val="TableGrid"/>
    <w:uiPriority w:val="99"/>
    <w:rsid w:val="007E45C0"/>
    <w:tblPr>
      <w:tblBorders>
        <w:top w:val="none" w:color="auto" w:sz="0" w:space="0"/>
        <w:left w:val="none" w:color="auto" w:sz="0" w:space="0"/>
        <w:bottom w:val="none" w:color="auto" w:sz="0" w:space="0"/>
        <w:right w:val="none" w:color="auto" w:sz="0" w:space="0"/>
        <w:insideH w:val="single" w:color="BFBFBF" w:themeColor="background1" w:themeShade="BF" w:sz="4" w:space="0"/>
        <w:insideV w:val="single" w:color="BFBFBF" w:themeColor="background1" w:themeShade="BF" w:sz="4" w:space="0"/>
      </w:tblBorders>
    </w:tblPr>
    <w:tblStylePr w:type="firstRow">
      <w:rPr>
        <w:i/>
      </w:rPr>
    </w:tblStylePr>
  </w:style>
  <w:style w:type="character" w:styleId="Hyperlink">
    <w:name w:val="Hyperlink"/>
    <w:unhideWhenUsed/>
    <w:rPr xmlns:w="http://schemas.openxmlformats.org/wordprocessingml/2006/mai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2.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webSettings" Target="/word/webSettings.xml" Id="rId4" /><Relationship Type="http://schemas.openxmlformats.org/officeDocument/2006/relationships/numbering" Target="/word/numbering.xml" Id="Rba8904c99af4441a" /><Relationship Type="http://schemas.openxmlformats.org/officeDocument/2006/relationships/hyperlink" Target="https://doi.org/10.3390/jmse8100776" TargetMode="External" Id="R74803c71232a4ced" /><Relationship Type="http://schemas.openxmlformats.org/officeDocument/2006/relationships/hyperlink" Target="https://plus.si.cobiss.net/opac7/bib/41510659?lang=sl" TargetMode="External" Id="R2ccadf9a6af2465a" /></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Nanut, Matej</cp:lastModifiedBy>
  <cp:revision>64</cp:revision>
  <dcterms:created xsi:type="dcterms:W3CDTF">2015-03-19T09:29:00Z</dcterms:created>
  <dcterms:modified xsi:type="dcterms:W3CDTF">2023-06-13T09:30:00Z</dcterms:modified>
</cp:coreProperties>
</file>